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5F" w:rsidRPr="00E3190F" w:rsidRDefault="00E3190F">
      <w:pPr>
        <w:rPr>
          <w:rFonts w:ascii="Arial" w:hAnsi="Arial" w:cs="Arial"/>
          <w:b/>
          <w:sz w:val="28"/>
          <w:szCs w:val="28"/>
        </w:rPr>
      </w:pPr>
      <w:r w:rsidRPr="00E3190F">
        <w:rPr>
          <w:rFonts w:ascii="Arial" w:hAnsi="Arial" w:cs="Arial"/>
          <w:b/>
          <w:sz w:val="28"/>
          <w:szCs w:val="28"/>
        </w:rPr>
        <w:t>Systems Subcommittee</w:t>
      </w:r>
      <w:r w:rsidR="00731213">
        <w:rPr>
          <w:rFonts w:ascii="Arial" w:hAnsi="Arial" w:cs="Arial"/>
          <w:b/>
          <w:sz w:val="28"/>
          <w:szCs w:val="28"/>
        </w:rPr>
        <w:t xml:space="preserve"> </w:t>
      </w:r>
      <w:r w:rsidRPr="00E3190F">
        <w:rPr>
          <w:rFonts w:ascii="Arial" w:hAnsi="Arial" w:cs="Arial"/>
          <w:b/>
          <w:sz w:val="28"/>
          <w:szCs w:val="28"/>
        </w:rPr>
        <w:t>Job Description</w:t>
      </w:r>
    </w:p>
    <w:p w:rsidR="00E3190F" w:rsidRPr="00E3190F" w:rsidRDefault="00E3190F">
      <w:pPr>
        <w:rPr>
          <w:rFonts w:ascii="Arial" w:hAnsi="Arial" w:cs="Arial"/>
          <w:b/>
          <w:sz w:val="24"/>
          <w:szCs w:val="24"/>
        </w:rPr>
      </w:pPr>
      <w:r w:rsidRPr="00E3190F">
        <w:rPr>
          <w:rFonts w:ascii="Arial" w:hAnsi="Arial" w:cs="Arial"/>
          <w:b/>
          <w:sz w:val="24"/>
          <w:szCs w:val="24"/>
        </w:rPr>
        <w:t>What are the subcommittee’s goals?</w:t>
      </w:r>
    </w:p>
    <w:p w:rsidR="00E3190F" w:rsidRDefault="00E3190F">
      <w:pPr>
        <w:rPr>
          <w:rFonts w:ascii="Arial" w:eastAsia="Calibri" w:hAnsi="Arial" w:cs="Arial"/>
        </w:rPr>
      </w:pPr>
      <w:r>
        <w:rPr>
          <w:rFonts w:ascii="Arial" w:eastAsia="Calibri" w:hAnsi="Arial" w:cs="Arial"/>
        </w:rPr>
        <w:t>The systems subcommittee is responsible for researching the current crisis response and service delivery system</w:t>
      </w:r>
      <w:r w:rsidR="00364820">
        <w:rPr>
          <w:rFonts w:ascii="Arial" w:eastAsia="Calibri" w:hAnsi="Arial" w:cs="Arial"/>
        </w:rPr>
        <w:t>s</w:t>
      </w:r>
      <w:r>
        <w:rPr>
          <w:rFonts w:ascii="Arial" w:eastAsia="Calibri" w:hAnsi="Arial" w:cs="Arial"/>
        </w:rPr>
        <w:t xml:space="preserve">. The subcommittee will research the linkages between systems and the procedural or operational guidelines currently in place.   The goal of this subcommittee is to understand the structure of the current </w:t>
      </w:r>
      <w:r w:rsidR="00FE7F5B">
        <w:rPr>
          <w:rFonts w:ascii="Arial" w:eastAsia="Calibri" w:hAnsi="Arial" w:cs="Arial"/>
        </w:rPr>
        <w:t xml:space="preserve">crisis response </w:t>
      </w:r>
      <w:r>
        <w:rPr>
          <w:rFonts w:ascii="Arial" w:eastAsia="Calibri" w:hAnsi="Arial" w:cs="Arial"/>
        </w:rPr>
        <w:t>system.</w:t>
      </w:r>
    </w:p>
    <w:p w:rsidR="00E3190F" w:rsidRPr="00E3190F" w:rsidRDefault="00E3190F">
      <w:pPr>
        <w:rPr>
          <w:rFonts w:ascii="Arial" w:eastAsia="Calibri" w:hAnsi="Arial" w:cs="Arial"/>
        </w:rPr>
      </w:pPr>
      <w:r>
        <w:rPr>
          <w:rFonts w:ascii="Arial" w:eastAsia="Calibri" w:hAnsi="Arial" w:cs="Arial"/>
        </w:rPr>
        <w:t xml:space="preserve">In addition, the subcommittee should </w:t>
      </w:r>
      <w:r w:rsidR="00497AD5">
        <w:rPr>
          <w:rFonts w:ascii="Arial" w:eastAsia="Calibri" w:hAnsi="Arial" w:cs="Arial"/>
        </w:rPr>
        <w:t>foster</w:t>
      </w:r>
      <w:r>
        <w:rPr>
          <w:rFonts w:ascii="Arial" w:eastAsia="Calibri" w:hAnsi="Arial" w:cs="Arial"/>
        </w:rPr>
        <w:t xml:space="preserve"> a constructive dialogue </w:t>
      </w:r>
      <w:r w:rsidR="00DD0AB2">
        <w:rPr>
          <w:rFonts w:ascii="Arial" w:eastAsia="Calibri" w:hAnsi="Arial" w:cs="Arial"/>
        </w:rPr>
        <w:t>with</w:t>
      </w:r>
      <w:r>
        <w:rPr>
          <w:rFonts w:ascii="Arial" w:eastAsia="Calibri" w:hAnsi="Arial" w:cs="Arial"/>
        </w:rPr>
        <w:t xml:space="preserve"> </w:t>
      </w:r>
      <w:r w:rsidR="00FE7F5B">
        <w:rPr>
          <w:rFonts w:ascii="Arial" w:eastAsia="Calibri" w:hAnsi="Arial" w:cs="Arial"/>
        </w:rPr>
        <w:t xml:space="preserve">front line </w:t>
      </w:r>
      <w:r w:rsidR="00497AD5">
        <w:rPr>
          <w:rFonts w:ascii="Arial" w:eastAsia="Calibri" w:hAnsi="Arial" w:cs="Arial"/>
        </w:rPr>
        <w:t>staff</w:t>
      </w:r>
      <w:r>
        <w:rPr>
          <w:rFonts w:ascii="Arial" w:eastAsia="Calibri" w:hAnsi="Arial" w:cs="Arial"/>
        </w:rPr>
        <w:t xml:space="preserve"> about how the current</w:t>
      </w:r>
      <w:r w:rsidR="00FE7F5B">
        <w:rPr>
          <w:rFonts w:ascii="Arial" w:eastAsia="Calibri" w:hAnsi="Arial" w:cs="Arial"/>
        </w:rPr>
        <w:t xml:space="preserve"> system</w:t>
      </w:r>
      <w:r>
        <w:rPr>
          <w:rFonts w:ascii="Arial" w:eastAsia="Calibri" w:hAnsi="Arial" w:cs="Arial"/>
        </w:rPr>
        <w:t xml:space="preserve"> works and how it can be improved. </w:t>
      </w:r>
      <w:r w:rsidR="006F68B6">
        <w:rPr>
          <w:rFonts w:ascii="Arial" w:eastAsia="Calibri" w:hAnsi="Arial" w:cs="Arial"/>
        </w:rPr>
        <w:t>In most cases the subcommittee will be seeking input from front-line workers</w:t>
      </w:r>
      <w:r w:rsidR="00497AD5">
        <w:rPr>
          <w:rFonts w:ascii="Arial" w:eastAsia="Calibri" w:hAnsi="Arial" w:cs="Arial"/>
        </w:rPr>
        <w:t xml:space="preserve"> such as</w:t>
      </w:r>
      <w:r w:rsidR="006F68B6">
        <w:rPr>
          <w:rFonts w:ascii="Arial" w:eastAsia="Calibri" w:hAnsi="Arial" w:cs="Arial"/>
        </w:rPr>
        <w:t xml:space="preserve"> patrol officers and emergency room nurses; however expert consultants </w:t>
      </w:r>
      <w:r w:rsidR="00497AD5">
        <w:rPr>
          <w:rFonts w:ascii="Arial" w:eastAsia="Calibri" w:hAnsi="Arial" w:cs="Arial"/>
        </w:rPr>
        <w:t>may</w:t>
      </w:r>
      <w:r w:rsidR="006F68B6">
        <w:rPr>
          <w:rFonts w:ascii="Arial" w:eastAsia="Calibri" w:hAnsi="Arial" w:cs="Arial"/>
        </w:rPr>
        <w:t xml:space="preserve"> also have valuable insights.  </w:t>
      </w:r>
      <w:r w:rsidR="00364820">
        <w:rPr>
          <w:rFonts w:ascii="Arial" w:eastAsia="Calibri" w:hAnsi="Arial" w:cs="Arial"/>
        </w:rPr>
        <w:t xml:space="preserve">It’s important to remember that a crisis can occur at any time of the day or night. It’s vital to understand how a crisis is addressed in the middle of the night or on weekends, when community mental health centers are closed and law enforcement officers are the only responders available.  At these times, hospital emergency rooms are the most common receiving facilities. </w:t>
      </w:r>
    </w:p>
    <w:p w:rsidR="00E3190F" w:rsidRDefault="00E3190F">
      <w:pPr>
        <w:rPr>
          <w:rFonts w:ascii="Arial" w:hAnsi="Arial" w:cs="Arial"/>
          <w:b/>
          <w:sz w:val="24"/>
          <w:szCs w:val="24"/>
        </w:rPr>
      </w:pPr>
      <w:r w:rsidRPr="00E3190F">
        <w:rPr>
          <w:rFonts w:ascii="Arial" w:hAnsi="Arial" w:cs="Arial"/>
          <w:b/>
          <w:sz w:val="24"/>
          <w:szCs w:val="24"/>
        </w:rPr>
        <w:t>What</w:t>
      </w:r>
      <w:r>
        <w:rPr>
          <w:rFonts w:ascii="Arial" w:hAnsi="Arial" w:cs="Arial"/>
          <w:b/>
          <w:sz w:val="24"/>
          <w:szCs w:val="24"/>
        </w:rPr>
        <w:t xml:space="preserve"> should the subcommittee know before getting started?</w:t>
      </w:r>
      <w:r w:rsidRPr="00E3190F">
        <w:rPr>
          <w:rFonts w:ascii="Arial" w:hAnsi="Arial" w:cs="Arial"/>
          <w:b/>
          <w:sz w:val="24"/>
          <w:szCs w:val="24"/>
        </w:rPr>
        <w:t xml:space="preserve"> </w:t>
      </w:r>
    </w:p>
    <w:p w:rsidR="00E3190F" w:rsidRPr="00E3190F" w:rsidRDefault="00E3190F" w:rsidP="00E3190F">
      <w:pPr>
        <w:rPr>
          <w:rFonts w:ascii="Arial" w:eastAsia="Calibri" w:hAnsi="Arial" w:cs="Arial"/>
        </w:rPr>
      </w:pPr>
      <w:r>
        <w:rPr>
          <w:rFonts w:ascii="Arial" w:eastAsia="Calibri" w:hAnsi="Arial" w:cs="Arial"/>
        </w:rPr>
        <w:t>I</w:t>
      </w:r>
      <w:r w:rsidRPr="00E3190F">
        <w:rPr>
          <w:rFonts w:ascii="Arial" w:eastAsia="Calibri" w:hAnsi="Arial" w:cs="Arial"/>
        </w:rPr>
        <w:t xml:space="preserve">t’s very important to proceed with respect, sensitivity and professionalism. </w:t>
      </w:r>
      <w:r>
        <w:rPr>
          <w:rFonts w:ascii="Arial" w:eastAsia="Calibri" w:hAnsi="Arial" w:cs="Arial"/>
        </w:rPr>
        <w:t xml:space="preserve">Most communities find their crisis response and service delivery systems </w:t>
      </w:r>
      <w:r w:rsidR="00364820">
        <w:rPr>
          <w:rFonts w:ascii="Arial" w:eastAsia="Calibri" w:hAnsi="Arial" w:cs="Arial"/>
        </w:rPr>
        <w:t>have barriers and challenges</w:t>
      </w:r>
      <w:r>
        <w:rPr>
          <w:rFonts w:ascii="Arial" w:eastAsia="Calibri" w:hAnsi="Arial" w:cs="Arial"/>
        </w:rPr>
        <w:t xml:space="preserve">. </w:t>
      </w:r>
      <w:r w:rsidR="00762E71">
        <w:rPr>
          <w:rFonts w:ascii="Arial" w:eastAsia="Calibri" w:hAnsi="Arial" w:cs="Arial"/>
        </w:rPr>
        <w:t>Often the policies and procedures of agencies have unintended consequences for other agencies in the community. The subcommittee should gather information from 911, law enforcement, jails, hospitals, mental providers and court.</w:t>
      </w:r>
      <w:r>
        <w:rPr>
          <w:rFonts w:ascii="Arial" w:eastAsia="Calibri" w:hAnsi="Arial" w:cs="Arial"/>
        </w:rPr>
        <w:t xml:space="preserve"> </w:t>
      </w:r>
      <w:r w:rsidR="00762E71">
        <w:rPr>
          <w:rFonts w:ascii="Arial" w:eastAsia="Calibri" w:hAnsi="Arial" w:cs="Arial"/>
        </w:rPr>
        <w:t>It is</w:t>
      </w:r>
      <w:r w:rsidR="00762E71" w:rsidRPr="00E3190F">
        <w:rPr>
          <w:rFonts w:ascii="Arial" w:eastAsia="Calibri" w:hAnsi="Arial" w:cs="Arial"/>
        </w:rPr>
        <w:t xml:space="preserve"> rarely the fault of</w:t>
      </w:r>
      <w:r w:rsidR="00762E71">
        <w:rPr>
          <w:rFonts w:ascii="Arial" w:eastAsia="Calibri" w:hAnsi="Arial" w:cs="Arial"/>
        </w:rPr>
        <w:t xml:space="preserve"> any</w:t>
      </w:r>
      <w:r w:rsidR="00762E71" w:rsidRPr="00E3190F">
        <w:rPr>
          <w:rFonts w:ascii="Arial" w:eastAsia="Calibri" w:hAnsi="Arial" w:cs="Arial"/>
        </w:rPr>
        <w:t xml:space="preserve"> one agency and improvements can </w:t>
      </w:r>
      <w:r w:rsidR="00762E71" w:rsidRPr="00364820">
        <w:rPr>
          <w:rFonts w:ascii="Arial" w:eastAsia="Calibri" w:hAnsi="Arial" w:cs="Arial"/>
        </w:rPr>
        <w:t xml:space="preserve">only </w:t>
      </w:r>
      <w:r w:rsidR="00762E71" w:rsidRPr="00E3190F">
        <w:rPr>
          <w:rFonts w:ascii="Arial" w:eastAsia="Calibri" w:hAnsi="Arial" w:cs="Arial"/>
        </w:rPr>
        <w:t>be made by working together constructively.</w:t>
      </w:r>
      <w:r w:rsidR="00762E71">
        <w:rPr>
          <w:rFonts w:ascii="Arial" w:eastAsia="Calibri" w:hAnsi="Arial" w:cs="Arial"/>
        </w:rPr>
        <w:t xml:space="preserve"> </w:t>
      </w:r>
      <w:r>
        <w:rPr>
          <w:rFonts w:ascii="Arial" w:eastAsia="Calibri" w:hAnsi="Arial" w:cs="Arial"/>
        </w:rPr>
        <w:t>Investigating system</w:t>
      </w:r>
      <w:r w:rsidR="00364820">
        <w:rPr>
          <w:rFonts w:ascii="Arial" w:eastAsia="Calibri" w:hAnsi="Arial" w:cs="Arial"/>
        </w:rPr>
        <w:t>s</w:t>
      </w:r>
      <w:r>
        <w:rPr>
          <w:rFonts w:ascii="Arial" w:eastAsia="Calibri" w:hAnsi="Arial" w:cs="Arial"/>
        </w:rPr>
        <w:t xml:space="preserve"> can </w:t>
      </w:r>
      <w:r w:rsidR="00364820">
        <w:rPr>
          <w:rFonts w:ascii="Arial" w:eastAsia="Calibri" w:hAnsi="Arial" w:cs="Arial"/>
        </w:rPr>
        <w:t xml:space="preserve">sometimes </w:t>
      </w:r>
      <w:r>
        <w:rPr>
          <w:rFonts w:ascii="Arial" w:eastAsia="Calibri" w:hAnsi="Arial" w:cs="Arial"/>
        </w:rPr>
        <w:t xml:space="preserve">create opportunities for criticism, mistrust and hard feelings. </w:t>
      </w:r>
      <w:r w:rsidRPr="00E3190F">
        <w:rPr>
          <w:rFonts w:ascii="Arial" w:eastAsia="Calibri" w:hAnsi="Arial" w:cs="Arial"/>
        </w:rPr>
        <w:t xml:space="preserve"> Care should be </w:t>
      </w:r>
      <w:r w:rsidR="00DD0AB2">
        <w:rPr>
          <w:rFonts w:ascii="Arial" w:eastAsia="Calibri" w:hAnsi="Arial" w:cs="Arial"/>
        </w:rPr>
        <w:t>taken</w:t>
      </w:r>
      <w:r w:rsidRPr="00E3190F">
        <w:rPr>
          <w:rFonts w:ascii="Arial" w:eastAsia="Calibri" w:hAnsi="Arial" w:cs="Arial"/>
        </w:rPr>
        <w:t xml:space="preserve"> not to </w:t>
      </w:r>
      <w:r>
        <w:rPr>
          <w:rFonts w:ascii="Arial" w:eastAsia="Calibri" w:hAnsi="Arial" w:cs="Arial"/>
        </w:rPr>
        <w:t>create divisions within</w:t>
      </w:r>
      <w:r w:rsidRPr="00E3190F">
        <w:rPr>
          <w:rFonts w:ascii="Arial" w:eastAsia="Calibri" w:hAnsi="Arial" w:cs="Arial"/>
        </w:rPr>
        <w:t xml:space="preserve"> your partnerships </w:t>
      </w:r>
      <w:r>
        <w:rPr>
          <w:rFonts w:ascii="Arial" w:eastAsia="Calibri" w:hAnsi="Arial" w:cs="Arial"/>
        </w:rPr>
        <w:t>or</w:t>
      </w:r>
      <w:r w:rsidR="00DD0AB2">
        <w:rPr>
          <w:rFonts w:ascii="Arial" w:eastAsia="Calibri" w:hAnsi="Arial" w:cs="Arial"/>
        </w:rPr>
        <w:t xml:space="preserve"> with</w:t>
      </w:r>
      <w:r>
        <w:rPr>
          <w:rFonts w:ascii="Arial" w:eastAsia="Calibri" w:hAnsi="Arial" w:cs="Arial"/>
        </w:rPr>
        <w:t xml:space="preserve"> </w:t>
      </w:r>
      <w:r w:rsidR="00497AD5">
        <w:rPr>
          <w:rFonts w:ascii="Arial" w:eastAsia="Calibri" w:hAnsi="Arial" w:cs="Arial"/>
        </w:rPr>
        <w:t>potential</w:t>
      </w:r>
      <w:r>
        <w:rPr>
          <w:rFonts w:ascii="Arial" w:eastAsia="Calibri" w:hAnsi="Arial" w:cs="Arial"/>
        </w:rPr>
        <w:t xml:space="preserve"> partners. </w:t>
      </w:r>
      <w:r w:rsidR="00762E71">
        <w:rPr>
          <w:rFonts w:ascii="Arial" w:eastAsia="Calibri" w:hAnsi="Arial" w:cs="Arial"/>
          <w:color w:val="FF0000"/>
        </w:rPr>
        <w:t xml:space="preserve"> </w:t>
      </w:r>
      <w:r w:rsidR="006F68B6">
        <w:rPr>
          <w:rFonts w:ascii="Arial" w:eastAsia="Calibri" w:hAnsi="Arial" w:cs="Arial"/>
        </w:rPr>
        <w:t>If the subcommittee remains focused on its goals, discussing th</w:t>
      </w:r>
      <w:r w:rsidR="00364820">
        <w:rPr>
          <w:rFonts w:ascii="Arial" w:eastAsia="Calibri" w:hAnsi="Arial" w:cs="Arial"/>
        </w:rPr>
        <w:t>ese issues together should help</w:t>
      </w:r>
      <w:r w:rsidR="006F68B6">
        <w:rPr>
          <w:rFonts w:ascii="Arial" w:eastAsia="Calibri" w:hAnsi="Arial" w:cs="Arial"/>
        </w:rPr>
        <w:t xml:space="preserve"> members from different partner organizations understand </w:t>
      </w:r>
      <w:r w:rsidR="00481C1C">
        <w:rPr>
          <w:rFonts w:ascii="Arial" w:eastAsia="Calibri" w:hAnsi="Arial" w:cs="Arial"/>
        </w:rPr>
        <w:t>one another’s</w:t>
      </w:r>
      <w:r w:rsidR="006F68B6">
        <w:rPr>
          <w:rFonts w:ascii="Arial" w:eastAsia="Calibri" w:hAnsi="Arial" w:cs="Arial"/>
        </w:rPr>
        <w:t xml:space="preserve"> perspectives and create stronger commitments to working together for positive change.</w:t>
      </w:r>
    </w:p>
    <w:p w:rsidR="00EF7336" w:rsidRPr="00EF7336" w:rsidRDefault="00E3190F" w:rsidP="00EF7336">
      <w:pPr>
        <w:rPr>
          <w:rFonts w:ascii="Arial" w:hAnsi="Arial" w:cs="Arial"/>
          <w:b/>
          <w:i/>
        </w:rPr>
      </w:pPr>
      <w:r w:rsidRPr="00E3190F">
        <w:rPr>
          <w:rFonts w:ascii="Arial" w:hAnsi="Arial" w:cs="Arial"/>
          <w:b/>
          <w:sz w:val="24"/>
          <w:szCs w:val="24"/>
        </w:rPr>
        <w:t>What additional resources might be helpful?</w:t>
      </w:r>
      <w:r w:rsidR="00F33EFB">
        <w:rPr>
          <w:rFonts w:ascii="Arial" w:hAnsi="Arial" w:cs="Arial"/>
          <w:b/>
          <w:sz w:val="24"/>
          <w:szCs w:val="24"/>
        </w:rPr>
        <w:t xml:space="preserve"> </w:t>
      </w:r>
      <w:r w:rsidR="00F33EFB" w:rsidRPr="001D1734">
        <w:rPr>
          <w:rFonts w:ascii="Arial" w:hAnsi="Arial" w:cs="Arial"/>
          <w:i/>
          <w:sz w:val="24"/>
          <w:szCs w:val="24"/>
        </w:rPr>
        <w:t>(</w:t>
      </w:r>
      <w:r w:rsidR="00F33EFB" w:rsidRPr="001D1734">
        <w:rPr>
          <w:rFonts w:ascii="Arial" w:eastAsia="Calibri" w:hAnsi="Arial" w:cs="Arial"/>
          <w:i/>
          <w:sz w:val="24"/>
          <w:szCs w:val="24"/>
          <w:lang w:eastAsia="ja-JP"/>
        </w:rPr>
        <w:t xml:space="preserve">All resources available online at: </w:t>
      </w:r>
      <w:hyperlink r:id="rId7" w:history="1">
        <w:r w:rsidR="00F33EFB" w:rsidRPr="001D1734">
          <w:rPr>
            <w:rFonts w:ascii="Arial" w:eastAsia="Calibri" w:hAnsi="Arial" w:cs="Arial"/>
            <w:i/>
            <w:color w:val="0000FF"/>
            <w:sz w:val="24"/>
            <w:szCs w:val="24"/>
            <w:u w:val="single"/>
            <w:lang w:eastAsia="ja-JP"/>
          </w:rPr>
          <w:t>http://cit.memphis.edu/resources</w:t>
        </w:r>
      </w:hyperlink>
      <w:r w:rsidR="00F33EFB" w:rsidRPr="001D1734">
        <w:rPr>
          <w:rFonts w:ascii="Arial" w:eastAsia="Calibri" w:hAnsi="Arial" w:cs="Arial"/>
          <w:i/>
          <w:color w:val="0000FF"/>
          <w:sz w:val="24"/>
          <w:szCs w:val="24"/>
          <w:u w:val="single"/>
          <w:lang w:eastAsia="ja-JP"/>
        </w:rPr>
        <w:t>)</w:t>
      </w:r>
      <w:r w:rsidR="00421FBC">
        <w:rPr>
          <w:rFonts w:ascii="Arial" w:hAnsi="Arial" w:cs="Arial"/>
          <w:b/>
          <w:sz w:val="24"/>
          <w:szCs w:val="24"/>
        </w:rPr>
        <w:br/>
      </w:r>
      <w:r w:rsidR="00F33EFB">
        <w:rPr>
          <w:rFonts w:ascii="Arial" w:hAnsi="Arial" w:cs="Arial"/>
          <w:b/>
          <w:i/>
        </w:rPr>
        <w:br/>
      </w:r>
      <w:bookmarkStart w:id="0" w:name="_GoBack"/>
      <w:bookmarkEnd w:id="0"/>
      <w:r w:rsidR="00EF7336" w:rsidRPr="00EF7336">
        <w:rPr>
          <w:rFonts w:ascii="Arial" w:hAnsi="Arial" w:cs="Arial"/>
          <w:b/>
          <w:i/>
        </w:rPr>
        <w:t xml:space="preserve">General Resources </w:t>
      </w:r>
    </w:p>
    <w:p w:rsidR="00EF7336" w:rsidRPr="00421FBC" w:rsidRDefault="00EF7336" w:rsidP="00EF7336">
      <w:pPr>
        <w:rPr>
          <w:rFonts w:ascii="Arial" w:hAnsi="Arial" w:cs="Arial"/>
          <w:b/>
          <w:sz w:val="24"/>
          <w:szCs w:val="24"/>
        </w:rPr>
      </w:pPr>
      <w:r>
        <w:rPr>
          <w:rFonts w:ascii="Arial" w:eastAsia="Calibri" w:hAnsi="Arial" w:cs="Arial"/>
        </w:rPr>
        <w:t xml:space="preserve">University of Memphis CIT Center, </w:t>
      </w:r>
      <w:hyperlink r:id="rId8" w:history="1">
        <w:r w:rsidRPr="00421FBC">
          <w:rPr>
            <w:rStyle w:val="Hyperlink"/>
            <w:rFonts w:ascii="Arial" w:eastAsia="Calibri" w:hAnsi="Arial" w:cs="Arial"/>
            <w:i/>
          </w:rPr>
          <w:t>Crisis Intervention Team Core Elements</w:t>
        </w:r>
      </w:hyperlink>
      <w:r w:rsidRPr="00165A81">
        <w:rPr>
          <w:rFonts w:ascii="Arial" w:eastAsia="Calibri" w:hAnsi="Arial" w:cs="Arial"/>
        </w:rPr>
        <w:t xml:space="preserve"> (page 16)</w:t>
      </w:r>
    </w:p>
    <w:p w:rsidR="00EF7336" w:rsidRDefault="00EF7336" w:rsidP="00EF7336">
      <w:r>
        <w:rPr>
          <w:rFonts w:ascii="Arial" w:eastAsia="Calibri" w:hAnsi="Arial" w:cs="Arial"/>
        </w:rPr>
        <w:t xml:space="preserve">NAMI, </w:t>
      </w:r>
      <w:hyperlink r:id="rId9" w:history="1">
        <w:r w:rsidRPr="00421FBC">
          <w:rPr>
            <w:rStyle w:val="Hyperlink"/>
            <w:rFonts w:ascii="Arial" w:eastAsia="Calibri" w:hAnsi="Arial" w:cs="Arial"/>
            <w:i/>
          </w:rPr>
          <w:t>Responding to Youth with Mental Health Needs: A CIT for Youth Implementation Manual</w:t>
        </w:r>
      </w:hyperlink>
      <w:r>
        <w:rPr>
          <w:rFonts w:ascii="Arial" w:eastAsia="Calibri" w:hAnsi="Arial" w:cs="Arial"/>
        </w:rPr>
        <w:t xml:space="preserve"> (Step 2)</w:t>
      </w:r>
      <w:r w:rsidRPr="00421FBC">
        <w:t xml:space="preserve"> </w:t>
      </w:r>
    </w:p>
    <w:p w:rsidR="00EF7336" w:rsidRPr="00421FBC" w:rsidRDefault="00EF7336" w:rsidP="00EF7336">
      <w:pPr>
        <w:rPr>
          <w:rFonts w:ascii="Arial" w:eastAsia="Calibri" w:hAnsi="Arial" w:cs="Arial"/>
          <w:highlight w:val="yellow"/>
        </w:rPr>
      </w:pPr>
      <w:r w:rsidRPr="00421FBC">
        <w:rPr>
          <w:rFonts w:ascii="Arial" w:eastAsia="Calibri" w:hAnsi="Arial" w:cs="Arial"/>
          <w:highlight w:val="yellow"/>
        </w:rPr>
        <w:t>Jackson TN CIT Meeting Summary</w:t>
      </w:r>
    </w:p>
    <w:p w:rsidR="00EF7336" w:rsidRDefault="00EF7336" w:rsidP="00EF7336">
      <w:pPr>
        <w:rPr>
          <w:rFonts w:ascii="Arial" w:eastAsia="Calibri" w:hAnsi="Arial" w:cs="Arial"/>
        </w:rPr>
      </w:pPr>
      <w:r w:rsidRPr="00421FBC">
        <w:rPr>
          <w:rFonts w:ascii="Arial" w:eastAsia="Calibri" w:hAnsi="Arial" w:cs="Arial"/>
          <w:highlight w:val="yellow"/>
        </w:rPr>
        <w:t>Memphis (TN) Crisis Assessment Center Description</w:t>
      </w:r>
    </w:p>
    <w:p w:rsidR="00EF7336" w:rsidRDefault="00EF7336" w:rsidP="00EF7336">
      <w:pPr>
        <w:rPr>
          <w:rFonts w:ascii="Arial" w:hAnsi="Arial" w:cs="Arial"/>
          <w:b/>
          <w:i/>
        </w:rPr>
      </w:pPr>
      <w:r w:rsidRPr="00AC17D9">
        <w:rPr>
          <w:rFonts w:ascii="Arial" w:eastAsia="Calibri" w:hAnsi="Arial" w:cs="Arial"/>
          <w:highlight w:val="yellow"/>
        </w:rPr>
        <w:t>Consen</w:t>
      </w:r>
      <w:r>
        <w:rPr>
          <w:rFonts w:ascii="Arial" w:eastAsia="Calibri" w:hAnsi="Arial" w:cs="Arial"/>
          <w:highlight w:val="yellow"/>
        </w:rPr>
        <w:t>s</w:t>
      </w:r>
      <w:r w:rsidRPr="00AC17D9">
        <w:rPr>
          <w:rFonts w:ascii="Arial" w:eastAsia="Calibri" w:hAnsi="Arial" w:cs="Arial"/>
          <w:highlight w:val="yellow"/>
        </w:rPr>
        <w:t>us project documents post booking diversion and mental health courts</w:t>
      </w:r>
      <w:r w:rsidRPr="00EF7336">
        <w:rPr>
          <w:rFonts w:ascii="Arial" w:hAnsi="Arial" w:cs="Arial"/>
          <w:b/>
          <w:i/>
        </w:rPr>
        <w:t xml:space="preserve"> </w:t>
      </w:r>
    </w:p>
    <w:p w:rsidR="00EF7336" w:rsidRDefault="00EF7336" w:rsidP="00EF7336">
      <w:pPr>
        <w:rPr>
          <w:rFonts w:ascii="Arial" w:hAnsi="Arial" w:cs="Arial"/>
          <w:b/>
          <w:i/>
        </w:rPr>
      </w:pPr>
    </w:p>
    <w:p w:rsidR="00EF7336" w:rsidRPr="00EF7336" w:rsidRDefault="00EF7336" w:rsidP="00EF7336">
      <w:pPr>
        <w:rPr>
          <w:rFonts w:ascii="Arial" w:hAnsi="Arial" w:cs="Arial"/>
          <w:b/>
          <w:sz w:val="24"/>
          <w:szCs w:val="24"/>
        </w:rPr>
      </w:pPr>
      <w:r>
        <w:rPr>
          <w:rFonts w:ascii="Arial" w:hAnsi="Arial" w:cs="Arial"/>
          <w:b/>
          <w:i/>
        </w:rPr>
        <w:t>M</w:t>
      </w:r>
      <w:r w:rsidRPr="00EF7336">
        <w:rPr>
          <w:rFonts w:ascii="Arial" w:hAnsi="Arial" w:cs="Arial"/>
          <w:b/>
          <w:i/>
        </w:rPr>
        <w:t>emoranda of Agreement</w:t>
      </w:r>
    </w:p>
    <w:p w:rsidR="00EF7336" w:rsidRDefault="00EF7336" w:rsidP="00EF7336">
      <w:pPr>
        <w:rPr>
          <w:rFonts w:ascii="Arial" w:hAnsi="Arial" w:cs="Arial"/>
          <w:highlight w:val="yellow"/>
        </w:rPr>
      </w:pPr>
      <w:r w:rsidRPr="00FA033C">
        <w:rPr>
          <w:rFonts w:ascii="Arial" w:hAnsi="Arial" w:cs="Arial"/>
          <w:highlight w:val="yellow"/>
        </w:rPr>
        <w:t xml:space="preserve">Rockbridge &amp; Bath Regional Area (VA) CIT Program MOA </w:t>
      </w:r>
    </w:p>
    <w:p w:rsidR="00EF7336" w:rsidRPr="00FA033C" w:rsidRDefault="00EF7336" w:rsidP="00EF7336">
      <w:pPr>
        <w:rPr>
          <w:rFonts w:ascii="Arial" w:hAnsi="Arial" w:cs="Arial"/>
          <w:highlight w:val="yellow"/>
        </w:rPr>
      </w:pPr>
      <w:r w:rsidRPr="00FA033C">
        <w:rPr>
          <w:rFonts w:ascii="Arial" w:hAnsi="Arial" w:cs="Arial"/>
          <w:highlight w:val="yellow"/>
        </w:rPr>
        <w:t>Wake County (NC) CIT Program MOU</w:t>
      </w:r>
    </w:p>
    <w:p w:rsidR="00EF7336" w:rsidRPr="00FA033C" w:rsidRDefault="00EF7336" w:rsidP="00EF7336">
      <w:pPr>
        <w:rPr>
          <w:rFonts w:ascii="Arial" w:hAnsi="Arial" w:cs="Arial"/>
          <w:highlight w:val="yellow"/>
        </w:rPr>
      </w:pPr>
      <w:r w:rsidRPr="00FA033C">
        <w:rPr>
          <w:rFonts w:ascii="Arial" w:hAnsi="Arial" w:cs="Arial"/>
          <w:highlight w:val="yellow"/>
        </w:rPr>
        <w:t>Charlottesville Area</w:t>
      </w:r>
      <w:r>
        <w:rPr>
          <w:rFonts w:ascii="Arial" w:hAnsi="Arial" w:cs="Arial"/>
          <w:highlight w:val="yellow"/>
        </w:rPr>
        <w:t xml:space="preserve"> (VA)</w:t>
      </w:r>
      <w:r w:rsidRPr="00FA033C">
        <w:rPr>
          <w:rFonts w:ascii="Arial" w:hAnsi="Arial" w:cs="Arial"/>
          <w:highlight w:val="yellow"/>
        </w:rPr>
        <w:t xml:space="preserve"> CIT </w:t>
      </w:r>
      <w:proofErr w:type="gramStart"/>
      <w:r w:rsidRPr="00FA033C">
        <w:rPr>
          <w:rFonts w:ascii="Arial" w:hAnsi="Arial" w:cs="Arial"/>
          <w:highlight w:val="yellow"/>
        </w:rPr>
        <w:t>Program  MOA</w:t>
      </w:r>
      <w:proofErr w:type="gramEnd"/>
    </w:p>
    <w:p w:rsidR="00EF7336" w:rsidRPr="00EF7336" w:rsidRDefault="00EF7336" w:rsidP="00421FBC">
      <w:pPr>
        <w:rPr>
          <w:rFonts w:ascii="Arial" w:eastAsia="Calibri" w:hAnsi="Arial" w:cs="Arial"/>
          <w:b/>
          <w:i/>
        </w:rPr>
      </w:pPr>
      <w:r w:rsidRPr="00EF7336">
        <w:rPr>
          <w:rFonts w:ascii="Arial" w:eastAsia="Calibri" w:hAnsi="Arial" w:cs="Arial"/>
          <w:b/>
          <w:i/>
        </w:rPr>
        <w:t>Systems Mapping</w:t>
      </w:r>
    </w:p>
    <w:p w:rsidR="00102CFF" w:rsidRPr="00481C1C" w:rsidRDefault="00102CFF" w:rsidP="00421FBC">
      <w:pPr>
        <w:rPr>
          <w:rFonts w:ascii="Arial" w:eastAsia="Calibri" w:hAnsi="Arial" w:cs="Arial"/>
        </w:rPr>
      </w:pPr>
      <w:proofErr w:type="gramStart"/>
      <w:r w:rsidRPr="00481C1C">
        <w:rPr>
          <w:rFonts w:ascii="Arial" w:eastAsia="Calibri" w:hAnsi="Arial" w:cs="Arial"/>
        </w:rPr>
        <w:t xml:space="preserve">Pennsylvania Mental Health and Justice Center of Excellence, </w:t>
      </w:r>
      <w:hyperlink r:id="rId10" w:history="1">
        <w:r w:rsidRPr="00481C1C">
          <w:rPr>
            <w:rStyle w:val="Hyperlink"/>
            <w:rFonts w:ascii="Arial" w:eastAsia="Calibri" w:hAnsi="Arial" w:cs="Arial"/>
          </w:rPr>
          <w:t>Cross-Systems Mapping</w:t>
        </w:r>
      </w:hyperlink>
      <w:r w:rsidRPr="00481C1C">
        <w:rPr>
          <w:rFonts w:ascii="Arial" w:eastAsia="Calibri" w:hAnsi="Arial" w:cs="Arial"/>
        </w:rPr>
        <w:t>.</w:t>
      </w:r>
      <w:proofErr w:type="gramEnd"/>
      <w:r w:rsidRPr="00481C1C">
        <w:rPr>
          <w:rFonts w:ascii="Arial" w:eastAsia="Calibri" w:hAnsi="Arial" w:cs="Arial"/>
        </w:rPr>
        <w:t xml:space="preserve"> </w:t>
      </w:r>
    </w:p>
    <w:p w:rsidR="00421FBC" w:rsidRPr="00421FBC" w:rsidRDefault="00421FBC" w:rsidP="00421FBC">
      <w:pPr>
        <w:rPr>
          <w:rFonts w:ascii="Arial" w:eastAsia="Calibri" w:hAnsi="Arial" w:cs="Arial"/>
          <w:highlight w:val="yellow"/>
        </w:rPr>
      </w:pPr>
      <w:r w:rsidRPr="00421FBC">
        <w:rPr>
          <w:rFonts w:ascii="Arial" w:eastAsia="Calibri" w:hAnsi="Arial" w:cs="Arial"/>
          <w:highlight w:val="yellow"/>
        </w:rPr>
        <w:t>Memphis Crisis Response System Flowchart</w:t>
      </w:r>
    </w:p>
    <w:tbl>
      <w:tblPr>
        <w:tblW w:w="4736" w:type="dxa"/>
        <w:tblInd w:w="93" w:type="dxa"/>
        <w:tblLook w:val="04A0" w:firstRow="1" w:lastRow="0" w:firstColumn="1" w:lastColumn="0" w:noHBand="0" w:noVBand="1"/>
      </w:tblPr>
      <w:tblGrid>
        <w:gridCol w:w="4736"/>
      </w:tblGrid>
      <w:tr w:rsidR="00664090" w:rsidRPr="00664090" w:rsidTr="00664090">
        <w:trPr>
          <w:trHeight w:val="300"/>
        </w:trPr>
        <w:tc>
          <w:tcPr>
            <w:tcW w:w="4736" w:type="dxa"/>
            <w:tcBorders>
              <w:top w:val="nil"/>
              <w:left w:val="nil"/>
              <w:bottom w:val="nil"/>
              <w:right w:val="nil"/>
            </w:tcBorders>
            <w:shd w:val="clear" w:color="auto" w:fill="auto"/>
            <w:noWrap/>
            <w:vAlign w:val="bottom"/>
          </w:tcPr>
          <w:p w:rsidR="00664090" w:rsidRPr="00664090" w:rsidRDefault="00664090" w:rsidP="00664090">
            <w:pPr>
              <w:spacing w:after="0" w:line="240" w:lineRule="auto"/>
              <w:rPr>
                <w:rFonts w:ascii="Calibri" w:eastAsia="Times New Roman" w:hAnsi="Calibri" w:cs="Calibri"/>
                <w:color w:val="000000"/>
              </w:rPr>
            </w:pPr>
          </w:p>
        </w:tc>
      </w:tr>
      <w:tr w:rsidR="00664090" w:rsidRPr="00664090" w:rsidTr="00664090">
        <w:trPr>
          <w:trHeight w:val="300"/>
        </w:trPr>
        <w:tc>
          <w:tcPr>
            <w:tcW w:w="4736" w:type="dxa"/>
            <w:tcBorders>
              <w:top w:val="nil"/>
              <w:left w:val="nil"/>
              <w:bottom w:val="nil"/>
              <w:right w:val="nil"/>
            </w:tcBorders>
            <w:shd w:val="clear" w:color="auto" w:fill="auto"/>
            <w:noWrap/>
            <w:vAlign w:val="bottom"/>
          </w:tcPr>
          <w:p w:rsidR="00664090" w:rsidRPr="00664090" w:rsidRDefault="00664090" w:rsidP="00664090">
            <w:pPr>
              <w:spacing w:after="0" w:line="240" w:lineRule="auto"/>
              <w:rPr>
                <w:rFonts w:ascii="Calibri" w:eastAsia="Times New Roman" w:hAnsi="Calibri" w:cs="Calibri"/>
                <w:color w:val="000000"/>
              </w:rPr>
            </w:pPr>
          </w:p>
        </w:tc>
      </w:tr>
      <w:tr w:rsidR="00664090" w:rsidRPr="00664090" w:rsidTr="00664090">
        <w:trPr>
          <w:trHeight w:val="300"/>
        </w:trPr>
        <w:tc>
          <w:tcPr>
            <w:tcW w:w="4736" w:type="dxa"/>
            <w:tcBorders>
              <w:top w:val="nil"/>
              <w:left w:val="nil"/>
              <w:bottom w:val="nil"/>
              <w:right w:val="nil"/>
            </w:tcBorders>
            <w:shd w:val="clear" w:color="auto" w:fill="auto"/>
            <w:noWrap/>
            <w:vAlign w:val="bottom"/>
          </w:tcPr>
          <w:p w:rsidR="00664090" w:rsidRPr="00664090" w:rsidRDefault="00421FBC" w:rsidP="00664090">
            <w:pPr>
              <w:spacing w:after="0" w:line="240" w:lineRule="auto"/>
              <w:rPr>
                <w:rFonts w:ascii="Calibri" w:eastAsia="Times New Roman" w:hAnsi="Calibri" w:cs="Calibri"/>
                <w:color w:val="000000"/>
              </w:rPr>
            </w:pPr>
            <w:r>
              <w:rPr>
                <w:rFonts w:ascii="Calibri" w:eastAsia="Times New Roman" w:hAnsi="Calibri" w:cs="Calibri"/>
                <w:color w:val="000000"/>
              </w:rPr>
              <w:br/>
            </w:r>
          </w:p>
        </w:tc>
      </w:tr>
    </w:tbl>
    <w:tbl>
      <w:tblPr>
        <w:tblStyle w:val="TableGrid"/>
        <w:tblW w:w="0" w:type="auto"/>
        <w:tblLook w:val="04A0" w:firstRow="1" w:lastRow="0" w:firstColumn="1" w:lastColumn="0" w:noHBand="0" w:noVBand="1"/>
      </w:tblPr>
      <w:tblGrid>
        <w:gridCol w:w="2312"/>
        <w:gridCol w:w="7246"/>
      </w:tblGrid>
      <w:tr w:rsidR="00762E71" w:rsidTr="00762E71">
        <w:tc>
          <w:tcPr>
            <w:tcW w:w="2312" w:type="dxa"/>
          </w:tcPr>
          <w:p w:rsidR="00762E71" w:rsidRPr="006A5215" w:rsidRDefault="00762E71" w:rsidP="006F68B6">
            <w:pPr>
              <w:pStyle w:val="ListParagraph"/>
              <w:tabs>
                <w:tab w:val="left" w:pos="2179"/>
              </w:tabs>
              <w:ind w:left="0"/>
              <w:rPr>
                <w:rFonts w:ascii="Arial" w:eastAsia="Calibri" w:hAnsi="Arial" w:cs="Arial"/>
                <w:b/>
                <w:sz w:val="28"/>
                <w:szCs w:val="28"/>
              </w:rPr>
            </w:pPr>
            <w:r>
              <w:rPr>
                <w:rFonts w:ascii="Arial" w:eastAsia="Calibri" w:hAnsi="Arial" w:cs="Arial"/>
                <w:b/>
                <w:sz w:val="28"/>
                <w:szCs w:val="28"/>
              </w:rPr>
              <w:t>Task</w:t>
            </w:r>
          </w:p>
        </w:tc>
        <w:tc>
          <w:tcPr>
            <w:tcW w:w="7246" w:type="dxa"/>
          </w:tcPr>
          <w:p w:rsidR="00762E71" w:rsidRPr="00DD0AB2" w:rsidRDefault="00762E71" w:rsidP="006A5215">
            <w:pPr>
              <w:rPr>
                <w:rFonts w:ascii="Arial" w:eastAsia="Calibri" w:hAnsi="Arial" w:cs="Arial"/>
                <w:b/>
                <w:sz w:val="28"/>
                <w:szCs w:val="28"/>
              </w:rPr>
            </w:pPr>
            <w:r w:rsidRPr="00DD0AB2">
              <w:rPr>
                <w:rFonts w:ascii="Arial" w:eastAsia="Calibri" w:hAnsi="Arial" w:cs="Arial"/>
                <w:b/>
                <w:sz w:val="28"/>
                <w:szCs w:val="28"/>
              </w:rPr>
              <w:t>Instructions</w:t>
            </w:r>
          </w:p>
        </w:tc>
      </w:tr>
      <w:tr w:rsidR="00762E71" w:rsidTr="00762E71">
        <w:tc>
          <w:tcPr>
            <w:tcW w:w="2312" w:type="dxa"/>
          </w:tcPr>
          <w:p w:rsidR="00762E71" w:rsidRPr="006A5215" w:rsidRDefault="00762E71" w:rsidP="00762E71">
            <w:pPr>
              <w:pStyle w:val="ListParagraph"/>
              <w:tabs>
                <w:tab w:val="left" w:pos="2179"/>
              </w:tabs>
              <w:ind w:left="0"/>
              <w:rPr>
                <w:rFonts w:ascii="Arial" w:eastAsia="Calibri" w:hAnsi="Arial" w:cs="Arial"/>
                <w:b/>
              </w:rPr>
            </w:pPr>
            <w:r>
              <w:rPr>
                <w:rFonts w:ascii="Arial" w:eastAsia="Calibri" w:hAnsi="Arial" w:cs="Arial"/>
                <w:b/>
              </w:rPr>
              <w:t>Gather information from</w:t>
            </w:r>
            <w:r w:rsidRPr="006A5215">
              <w:rPr>
                <w:rFonts w:ascii="Arial" w:eastAsia="Calibri" w:hAnsi="Arial" w:cs="Arial"/>
                <w:b/>
              </w:rPr>
              <w:t xml:space="preserve"> front-line </w:t>
            </w:r>
            <w:r>
              <w:rPr>
                <w:rFonts w:ascii="Arial" w:eastAsia="Calibri" w:hAnsi="Arial" w:cs="Arial"/>
                <w:b/>
              </w:rPr>
              <w:t xml:space="preserve">law enforcement </w:t>
            </w:r>
            <w:r w:rsidRPr="006A5215">
              <w:rPr>
                <w:rFonts w:ascii="Arial" w:eastAsia="Calibri" w:hAnsi="Arial" w:cs="Arial"/>
                <w:b/>
              </w:rPr>
              <w:t>officers</w:t>
            </w:r>
            <w:r>
              <w:rPr>
                <w:rFonts w:ascii="Arial" w:eastAsia="Calibri" w:hAnsi="Arial" w:cs="Arial"/>
                <w:b/>
              </w:rPr>
              <w:t xml:space="preserve"> and 911 communications personnel</w:t>
            </w:r>
          </w:p>
        </w:tc>
        <w:tc>
          <w:tcPr>
            <w:tcW w:w="7246" w:type="dxa"/>
          </w:tcPr>
          <w:p w:rsidR="00762E71" w:rsidRDefault="00762E71" w:rsidP="006A5215">
            <w:pPr>
              <w:rPr>
                <w:rFonts w:ascii="Arial" w:eastAsia="Calibri" w:hAnsi="Arial" w:cs="Arial"/>
              </w:rPr>
            </w:pPr>
            <w:r>
              <w:rPr>
                <w:rFonts w:ascii="Arial" w:eastAsia="Calibri" w:hAnsi="Arial" w:cs="Arial"/>
              </w:rPr>
              <w:t xml:space="preserve">To better understand the initial crisis response, talk with 911 communications personnel and front line law enforcement officers, who are typically the first responders during a mental health </w:t>
            </w:r>
            <w:proofErr w:type="gramStart"/>
            <w:r>
              <w:rPr>
                <w:rFonts w:ascii="Arial" w:eastAsia="Calibri" w:hAnsi="Arial" w:cs="Arial"/>
              </w:rPr>
              <w:t>crisis.</w:t>
            </w:r>
            <w:proofErr w:type="gramEnd"/>
            <w:r>
              <w:rPr>
                <w:rFonts w:ascii="Arial" w:eastAsia="Calibri" w:hAnsi="Arial" w:cs="Arial"/>
              </w:rPr>
              <w:t xml:space="preserve">  Ask uniform officers (including those assigned to night and weekend shifts) about the procedures they follow during crisis events. How do communications personnel identify a call as relating to mental health crisis? Where do officers take a person experiencing a mental health crisis, how long does it take and what challenges are present? </w:t>
            </w:r>
          </w:p>
          <w:p w:rsidR="00762E71" w:rsidRDefault="00762E71" w:rsidP="006A5215">
            <w:pPr>
              <w:rPr>
                <w:rFonts w:ascii="Arial" w:eastAsia="Calibri" w:hAnsi="Arial" w:cs="Arial"/>
              </w:rPr>
            </w:pPr>
          </w:p>
          <w:p w:rsidR="00762E71" w:rsidRPr="00AC17D9" w:rsidRDefault="00762E71" w:rsidP="00AC17D9">
            <w:pPr>
              <w:rPr>
                <w:rFonts w:ascii="Arial" w:eastAsia="Calibri" w:hAnsi="Arial" w:cs="Arial"/>
                <w:color w:val="FF0000"/>
              </w:rPr>
            </w:pPr>
            <w:r>
              <w:rPr>
                <w:rFonts w:ascii="Arial" w:eastAsia="Calibri" w:hAnsi="Arial" w:cs="Arial"/>
              </w:rPr>
              <w:t xml:space="preserve">In addition, ask for a copy of the agency’s policy and procedure relating to mental health crisis response.  </w:t>
            </w:r>
            <w:r>
              <w:rPr>
                <w:rFonts w:ascii="Arial" w:eastAsia="Calibri" w:hAnsi="Arial" w:cs="Arial"/>
                <w:color w:val="FF0000"/>
              </w:rPr>
              <w:t xml:space="preserve"> </w:t>
            </w:r>
          </w:p>
        </w:tc>
      </w:tr>
      <w:tr w:rsidR="00762E71" w:rsidTr="00762E71">
        <w:tc>
          <w:tcPr>
            <w:tcW w:w="2312" w:type="dxa"/>
          </w:tcPr>
          <w:p w:rsidR="00762E71" w:rsidRPr="006A5215" w:rsidRDefault="00AC17D9" w:rsidP="006F68B6">
            <w:pPr>
              <w:pStyle w:val="ListParagraph"/>
              <w:tabs>
                <w:tab w:val="left" w:pos="2179"/>
              </w:tabs>
              <w:ind w:left="0"/>
              <w:rPr>
                <w:rFonts w:ascii="Arial" w:eastAsia="Calibri" w:hAnsi="Arial" w:cs="Arial"/>
                <w:b/>
              </w:rPr>
            </w:pPr>
            <w:r>
              <w:rPr>
                <w:rFonts w:ascii="Arial" w:eastAsia="Calibri" w:hAnsi="Arial" w:cs="Arial"/>
                <w:b/>
              </w:rPr>
              <w:t xml:space="preserve">Gather information from jails, probation and parole </w:t>
            </w:r>
            <w:r w:rsidR="00762E71">
              <w:rPr>
                <w:rFonts w:ascii="Arial" w:eastAsia="Calibri" w:hAnsi="Arial" w:cs="Arial"/>
                <w:b/>
              </w:rPr>
              <w:t xml:space="preserve">and </w:t>
            </w:r>
            <w:r>
              <w:rPr>
                <w:rFonts w:ascii="Arial" w:eastAsia="Calibri" w:hAnsi="Arial" w:cs="Arial"/>
                <w:b/>
              </w:rPr>
              <w:t>court systems</w:t>
            </w:r>
          </w:p>
        </w:tc>
        <w:tc>
          <w:tcPr>
            <w:tcW w:w="7246" w:type="dxa"/>
          </w:tcPr>
          <w:p w:rsidR="00762E71" w:rsidRPr="00F01F22" w:rsidRDefault="00AC17D9" w:rsidP="00F01F22">
            <w:pPr>
              <w:rPr>
                <w:rFonts w:ascii="Arial" w:eastAsia="Calibri" w:hAnsi="Arial" w:cs="Arial"/>
                <w:highlight w:val="yellow"/>
              </w:rPr>
            </w:pPr>
            <w:r w:rsidRPr="003F3188">
              <w:rPr>
                <w:rFonts w:ascii="Arial" w:eastAsia="Calibri" w:hAnsi="Arial" w:cs="Arial"/>
              </w:rPr>
              <w:t>To better understand what happens when an individual</w:t>
            </w:r>
            <w:r w:rsidR="00F01F22" w:rsidRPr="003F3188">
              <w:rPr>
                <w:rFonts w:ascii="Arial" w:eastAsia="Calibri" w:hAnsi="Arial" w:cs="Arial"/>
              </w:rPr>
              <w:t xml:space="preserve"> with mental illness</w:t>
            </w:r>
            <w:r w:rsidRPr="003F3188">
              <w:rPr>
                <w:rFonts w:ascii="Arial" w:eastAsia="Calibri" w:hAnsi="Arial" w:cs="Arial"/>
              </w:rPr>
              <w:t xml:space="preserve"> is arrested, </w:t>
            </w:r>
            <w:r w:rsidR="00F01F22" w:rsidRPr="003F3188">
              <w:rPr>
                <w:rFonts w:ascii="Arial" w:eastAsia="Calibri" w:hAnsi="Arial" w:cs="Arial"/>
              </w:rPr>
              <w:t>gather information from a variety of sources within the criminal justice system. Ask jail administrators whether there is mental health screening, what percentage of their inmates are on psychotropic medications and what concerns or problems they face associated with inmates with mental illness. Ask a</w:t>
            </w:r>
            <w:r w:rsidRPr="003F3188">
              <w:rPr>
                <w:rFonts w:ascii="Arial" w:eastAsia="Calibri" w:hAnsi="Arial" w:cs="Arial"/>
              </w:rPr>
              <w:t>dministrative judge</w:t>
            </w:r>
            <w:r w:rsidR="00F01F22" w:rsidRPr="003F3188">
              <w:rPr>
                <w:rFonts w:ascii="Arial" w:eastAsia="Calibri" w:hAnsi="Arial" w:cs="Arial"/>
              </w:rPr>
              <w:t>s whether there are court-based diversion programs, such as mental health courts, and whether judges have appropriate mechanisms for referring individuals for needed mental health care. Ask public defenders about the existence of pre-trial release programs, post-booking jail diversion programs and any services available to individuals with mental illness involved in the court system. Ask probation and pa</w:t>
            </w:r>
            <w:r w:rsidRPr="003F3188">
              <w:rPr>
                <w:rFonts w:ascii="Arial" w:eastAsia="Calibri" w:hAnsi="Arial" w:cs="Arial"/>
              </w:rPr>
              <w:t xml:space="preserve">role </w:t>
            </w:r>
            <w:r w:rsidR="00F01F22" w:rsidRPr="003F3188">
              <w:rPr>
                <w:rFonts w:ascii="Arial" w:eastAsia="Calibri" w:hAnsi="Arial" w:cs="Arial"/>
              </w:rPr>
              <w:t xml:space="preserve">officers whether they have concerns about individuals with mental illness under their supervision and whether they make referrals for mental health services. </w:t>
            </w:r>
          </w:p>
        </w:tc>
      </w:tr>
      <w:tr w:rsidR="00762E71" w:rsidTr="00762E71">
        <w:tc>
          <w:tcPr>
            <w:tcW w:w="2312" w:type="dxa"/>
          </w:tcPr>
          <w:p w:rsidR="00762E71" w:rsidRPr="006A5215" w:rsidRDefault="00762E71" w:rsidP="00762E71">
            <w:pPr>
              <w:pStyle w:val="ListParagraph"/>
              <w:tabs>
                <w:tab w:val="left" w:pos="2179"/>
              </w:tabs>
              <w:ind w:left="0"/>
              <w:rPr>
                <w:rFonts w:ascii="Arial" w:eastAsia="Calibri" w:hAnsi="Arial" w:cs="Arial"/>
                <w:b/>
              </w:rPr>
            </w:pPr>
            <w:r>
              <w:rPr>
                <w:rFonts w:ascii="Arial" w:eastAsia="Calibri" w:hAnsi="Arial" w:cs="Arial"/>
                <w:b/>
              </w:rPr>
              <w:t>Gather information from</w:t>
            </w:r>
            <w:r w:rsidRPr="006A5215">
              <w:rPr>
                <w:rFonts w:ascii="Arial" w:eastAsia="Calibri" w:hAnsi="Arial" w:cs="Arial"/>
                <w:b/>
              </w:rPr>
              <w:t xml:space="preserve"> front-line </w:t>
            </w:r>
            <w:r w:rsidRPr="006A5215">
              <w:rPr>
                <w:rFonts w:ascii="Arial" w:eastAsia="Calibri" w:hAnsi="Arial" w:cs="Arial"/>
                <w:b/>
              </w:rPr>
              <w:lastRenderedPageBreak/>
              <w:t>healthcare providers</w:t>
            </w:r>
          </w:p>
        </w:tc>
        <w:tc>
          <w:tcPr>
            <w:tcW w:w="7246" w:type="dxa"/>
          </w:tcPr>
          <w:p w:rsidR="00762E71" w:rsidRDefault="00762E71" w:rsidP="006A5215">
            <w:pPr>
              <w:rPr>
                <w:rFonts w:ascii="Arial" w:eastAsia="Calibri" w:hAnsi="Arial" w:cs="Arial"/>
              </w:rPr>
            </w:pPr>
            <w:r>
              <w:rPr>
                <w:rFonts w:ascii="Arial" w:eastAsia="Calibri" w:hAnsi="Arial" w:cs="Arial"/>
              </w:rPr>
              <w:lastRenderedPageBreak/>
              <w:t xml:space="preserve">Visit the receiving site or sites where officers frequently deliver people needing crisis or psychiatric services, including crisis centers and emergency rooms.  Ask nurses and other providers what the receiving </w:t>
            </w:r>
            <w:r>
              <w:rPr>
                <w:rFonts w:ascii="Arial" w:eastAsia="Calibri" w:hAnsi="Arial" w:cs="Arial"/>
              </w:rPr>
              <w:lastRenderedPageBreak/>
              <w:t xml:space="preserve">process is like from their perspective.  When a law enforcement officer brings in a person for a mental health evaluation, what happens? Do officers identify people needing emergency psychiatric care correctly? Does the receiving facility have resources to offer multiple levels of care or referrals?  </w:t>
            </w:r>
            <w:r w:rsidRPr="004F0F91">
              <w:rPr>
                <w:rFonts w:ascii="Arial" w:eastAsia="Calibri" w:hAnsi="Arial" w:cs="Arial"/>
              </w:rPr>
              <w:t xml:space="preserve">How does </w:t>
            </w:r>
            <w:r>
              <w:rPr>
                <w:rFonts w:ascii="Arial" w:eastAsia="Calibri" w:hAnsi="Arial" w:cs="Arial"/>
              </w:rPr>
              <w:t xml:space="preserve">this process work and what challenges are present?  </w:t>
            </w:r>
          </w:p>
          <w:p w:rsidR="00762E71" w:rsidRDefault="00762E71" w:rsidP="006F68B6">
            <w:pPr>
              <w:pStyle w:val="ListParagraph"/>
              <w:tabs>
                <w:tab w:val="left" w:pos="2179"/>
              </w:tabs>
              <w:ind w:left="0"/>
              <w:rPr>
                <w:rFonts w:ascii="Arial" w:eastAsia="Calibri" w:hAnsi="Arial" w:cs="Arial"/>
              </w:rPr>
            </w:pPr>
          </w:p>
          <w:p w:rsidR="00762E71" w:rsidRPr="003549EF" w:rsidRDefault="00762E71" w:rsidP="00762E71">
            <w:pPr>
              <w:rPr>
                <w:rFonts w:ascii="Arial" w:eastAsia="Calibri" w:hAnsi="Arial" w:cs="Arial"/>
                <w:color w:val="FF0000"/>
              </w:rPr>
            </w:pPr>
            <w:r>
              <w:rPr>
                <w:rFonts w:ascii="Arial" w:eastAsia="Calibri" w:hAnsi="Arial" w:cs="Arial"/>
              </w:rPr>
              <w:t xml:space="preserve">In addition, ask for a copy of the agency’s policy and procedure relating to mental health crisis response.  </w:t>
            </w:r>
            <w:r>
              <w:rPr>
                <w:rFonts w:ascii="Arial" w:eastAsia="Calibri" w:hAnsi="Arial" w:cs="Arial"/>
                <w:color w:val="FF0000"/>
              </w:rPr>
              <w:t xml:space="preserve"> </w:t>
            </w:r>
          </w:p>
          <w:p w:rsidR="00762E71" w:rsidRDefault="00762E71" w:rsidP="006F68B6">
            <w:pPr>
              <w:pStyle w:val="ListParagraph"/>
              <w:tabs>
                <w:tab w:val="left" w:pos="2179"/>
              </w:tabs>
              <w:ind w:left="0"/>
              <w:rPr>
                <w:rFonts w:ascii="Arial" w:eastAsia="Calibri" w:hAnsi="Arial" w:cs="Arial"/>
              </w:rPr>
            </w:pPr>
          </w:p>
        </w:tc>
      </w:tr>
      <w:tr w:rsidR="00762E71" w:rsidTr="00762E71">
        <w:tc>
          <w:tcPr>
            <w:tcW w:w="2312" w:type="dxa"/>
          </w:tcPr>
          <w:p w:rsidR="00762E71" w:rsidRPr="006A5215" w:rsidRDefault="00762E71" w:rsidP="00EE7E4A">
            <w:pPr>
              <w:pStyle w:val="ListParagraph"/>
              <w:tabs>
                <w:tab w:val="left" w:pos="2179"/>
              </w:tabs>
              <w:ind w:left="0"/>
              <w:rPr>
                <w:rFonts w:ascii="Arial" w:eastAsia="Calibri" w:hAnsi="Arial" w:cs="Arial"/>
                <w:b/>
              </w:rPr>
            </w:pPr>
            <w:r>
              <w:rPr>
                <w:rFonts w:ascii="Arial" w:eastAsia="Calibri" w:hAnsi="Arial" w:cs="Arial"/>
                <w:b/>
              </w:rPr>
              <w:lastRenderedPageBreak/>
              <w:t>Gather information from  people living with mental illness and their</w:t>
            </w:r>
            <w:r w:rsidRPr="006A5215">
              <w:rPr>
                <w:rFonts w:ascii="Arial" w:eastAsia="Calibri" w:hAnsi="Arial" w:cs="Arial"/>
                <w:b/>
              </w:rPr>
              <w:t xml:space="preserve"> families </w:t>
            </w:r>
            <w:r>
              <w:rPr>
                <w:rFonts w:ascii="Arial" w:eastAsia="Calibri" w:hAnsi="Arial" w:cs="Arial"/>
                <w:b/>
              </w:rPr>
              <w:t xml:space="preserve"> </w:t>
            </w:r>
          </w:p>
        </w:tc>
        <w:tc>
          <w:tcPr>
            <w:tcW w:w="7246" w:type="dxa"/>
          </w:tcPr>
          <w:p w:rsidR="00762E71" w:rsidRDefault="00762E71" w:rsidP="006A5215">
            <w:pPr>
              <w:rPr>
                <w:rFonts w:ascii="Arial" w:eastAsia="Calibri" w:hAnsi="Arial" w:cs="Arial"/>
              </w:rPr>
            </w:pPr>
            <w:r>
              <w:rPr>
                <w:rFonts w:ascii="Arial" w:eastAsia="Calibri" w:hAnsi="Arial" w:cs="Arial"/>
              </w:rPr>
              <w:t xml:space="preserve">Talk with individuals living with mental illness and their family members who have experienced a crisis response. What was the experience like for them?  How did the process work and what challenges were present? </w:t>
            </w:r>
          </w:p>
          <w:p w:rsidR="00762E71" w:rsidRDefault="00762E71" w:rsidP="006F68B6">
            <w:pPr>
              <w:pStyle w:val="ListParagraph"/>
              <w:tabs>
                <w:tab w:val="left" w:pos="2179"/>
              </w:tabs>
              <w:ind w:left="0"/>
              <w:rPr>
                <w:rFonts w:ascii="Arial" w:eastAsia="Calibri" w:hAnsi="Arial" w:cs="Arial"/>
              </w:rPr>
            </w:pPr>
          </w:p>
        </w:tc>
      </w:tr>
      <w:tr w:rsidR="00762E71" w:rsidTr="00762E71">
        <w:tc>
          <w:tcPr>
            <w:tcW w:w="2312" w:type="dxa"/>
          </w:tcPr>
          <w:p w:rsidR="00762E71" w:rsidRPr="006A5215" w:rsidRDefault="00762E71" w:rsidP="00FE7F5B">
            <w:pPr>
              <w:pStyle w:val="ListParagraph"/>
              <w:tabs>
                <w:tab w:val="left" w:pos="2179"/>
              </w:tabs>
              <w:ind w:left="0"/>
              <w:rPr>
                <w:rFonts w:ascii="Arial" w:eastAsia="Calibri" w:hAnsi="Arial" w:cs="Arial"/>
                <w:b/>
              </w:rPr>
            </w:pPr>
            <w:r>
              <w:rPr>
                <w:rFonts w:ascii="Arial" w:eastAsia="Calibri" w:hAnsi="Arial" w:cs="Arial"/>
                <w:b/>
              </w:rPr>
              <w:t>Gather information from</w:t>
            </w:r>
            <w:r w:rsidRPr="006A5215">
              <w:rPr>
                <w:rFonts w:ascii="Arial" w:eastAsia="Calibri" w:hAnsi="Arial" w:cs="Arial"/>
                <w:b/>
              </w:rPr>
              <w:t xml:space="preserve"> mental health agency leaders</w:t>
            </w:r>
          </w:p>
        </w:tc>
        <w:tc>
          <w:tcPr>
            <w:tcW w:w="7246" w:type="dxa"/>
          </w:tcPr>
          <w:p w:rsidR="00762E71" w:rsidRDefault="00762E71" w:rsidP="00EE7E4A">
            <w:pPr>
              <w:pStyle w:val="ListParagraph"/>
              <w:tabs>
                <w:tab w:val="left" w:pos="2179"/>
              </w:tabs>
              <w:ind w:left="0"/>
              <w:rPr>
                <w:rFonts w:ascii="Arial" w:eastAsia="Calibri" w:hAnsi="Arial" w:cs="Arial"/>
                <w:sz w:val="22"/>
                <w:szCs w:val="22"/>
              </w:rPr>
            </w:pPr>
            <w:r w:rsidRPr="00DD0AB2">
              <w:rPr>
                <w:rFonts w:ascii="Arial" w:eastAsia="Calibri" w:hAnsi="Arial" w:cs="Arial"/>
                <w:sz w:val="22"/>
                <w:szCs w:val="22"/>
              </w:rPr>
              <w:t>Interview</w:t>
            </w:r>
            <w:r>
              <w:rPr>
                <w:rFonts w:ascii="Arial" w:eastAsia="Calibri" w:hAnsi="Arial" w:cs="Arial"/>
                <w:sz w:val="22"/>
                <w:szCs w:val="22"/>
              </w:rPr>
              <w:t xml:space="preserve"> leaders </w:t>
            </w:r>
            <w:r w:rsidRPr="00DD0AB2">
              <w:rPr>
                <w:rFonts w:ascii="Arial" w:eastAsia="Calibri" w:hAnsi="Arial" w:cs="Arial"/>
                <w:sz w:val="22"/>
                <w:szCs w:val="22"/>
              </w:rPr>
              <w:t xml:space="preserve">service provider agencies in the community to </w:t>
            </w:r>
            <w:r>
              <w:rPr>
                <w:rFonts w:ascii="Arial" w:eastAsia="Calibri" w:hAnsi="Arial" w:cs="Arial"/>
                <w:sz w:val="22"/>
                <w:szCs w:val="22"/>
              </w:rPr>
              <w:t xml:space="preserve">capture a clear picture of both crisis and non-crisis services. Ask whether law enforcement officer can access these services. </w:t>
            </w:r>
            <w:r w:rsidRPr="00DD0AB2">
              <w:rPr>
                <w:rFonts w:ascii="Arial" w:eastAsia="Calibri" w:hAnsi="Arial" w:cs="Arial"/>
                <w:sz w:val="22"/>
                <w:szCs w:val="22"/>
              </w:rPr>
              <w:t xml:space="preserve">For example, ask what services are </w:t>
            </w:r>
            <w:r>
              <w:rPr>
                <w:rFonts w:ascii="Arial" w:eastAsia="Calibri" w:hAnsi="Arial" w:cs="Arial"/>
                <w:sz w:val="22"/>
                <w:szCs w:val="22"/>
              </w:rPr>
              <w:t>available</w:t>
            </w:r>
            <w:r w:rsidRPr="00DD0AB2">
              <w:rPr>
                <w:rFonts w:ascii="Arial" w:eastAsia="Calibri" w:hAnsi="Arial" w:cs="Arial"/>
                <w:sz w:val="22"/>
                <w:szCs w:val="22"/>
              </w:rPr>
              <w:t xml:space="preserve"> for people who need </w:t>
            </w:r>
            <w:r>
              <w:rPr>
                <w:rFonts w:ascii="Arial" w:eastAsia="Calibri" w:hAnsi="Arial" w:cs="Arial"/>
                <w:sz w:val="22"/>
                <w:szCs w:val="22"/>
              </w:rPr>
              <w:t>assistance</w:t>
            </w:r>
            <w:r w:rsidRPr="00DD0AB2">
              <w:rPr>
                <w:rFonts w:ascii="Arial" w:eastAsia="Calibri" w:hAnsi="Arial" w:cs="Arial"/>
                <w:sz w:val="22"/>
                <w:szCs w:val="22"/>
              </w:rPr>
              <w:t xml:space="preserve"> but are not eligible for an emergency psychiatric hold. Are there crisis stabilization facilities, respite care or shelter services available that law enforcement might be unaware of? </w:t>
            </w:r>
            <w:r>
              <w:rPr>
                <w:rFonts w:ascii="Arial" w:eastAsia="Calibri" w:hAnsi="Arial" w:cs="Arial"/>
                <w:sz w:val="22"/>
                <w:szCs w:val="22"/>
              </w:rPr>
              <w:t>Where</w:t>
            </w:r>
            <w:r w:rsidRPr="00DD0AB2">
              <w:rPr>
                <w:rFonts w:ascii="Arial" w:eastAsia="Calibri" w:hAnsi="Arial" w:cs="Arial"/>
                <w:sz w:val="22"/>
                <w:szCs w:val="22"/>
              </w:rPr>
              <w:t xml:space="preserve"> community services are available, what is the procedure for law enforcement to refer an individual for </w:t>
            </w:r>
            <w:r>
              <w:rPr>
                <w:rFonts w:ascii="Arial" w:eastAsia="Calibri" w:hAnsi="Arial" w:cs="Arial"/>
                <w:sz w:val="22"/>
                <w:szCs w:val="22"/>
              </w:rPr>
              <w:t xml:space="preserve">these </w:t>
            </w:r>
            <w:r w:rsidRPr="00DD0AB2">
              <w:rPr>
                <w:rFonts w:ascii="Arial" w:eastAsia="Calibri" w:hAnsi="Arial" w:cs="Arial"/>
                <w:sz w:val="22"/>
                <w:szCs w:val="22"/>
              </w:rPr>
              <w:t>services?  If an emergency room or mental health agency makes a referral to other services or agencies is there a follow-up to make sure the person received services?  The subcommittee should also inquire about the availability of substance abuse, homeless</w:t>
            </w:r>
            <w:r>
              <w:rPr>
                <w:rFonts w:ascii="Arial" w:eastAsia="Calibri" w:hAnsi="Arial" w:cs="Arial"/>
                <w:sz w:val="22"/>
                <w:szCs w:val="22"/>
              </w:rPr>
              <w:t xml:space="preserve">, veterans’ </w:t>
            </w:r>
            <w:r w:rsidRPr="00DD0AB2">
              <w:rPr>
                <w:rFonts w:ascii="Arial" w:eastAsia="Calibri" w:hAnsi="Arial" w:cs="Arial"/>
                <w:sz w:val="22"/>
                <w:szCs w:val="22"/>
              </w:rPr>
              <w:t xml:space="preserve">and other services that individuals living with mental illness may need.  </w:t>
            </w:r>
          </w:p>
          <w:p w:rsidR="00762E71" w:rsidRDefault="00762E71" w:rsidP="00EE7E4A">
            <w:pPr>
              <w:pStyle w:val="ListParagraph"/>
              <w:tabs>
                <w:tab w:val="left" w:pos="2179"/>
              </w:tabs>
              <w:ind w:left="0"/>
              <w:rPr>
                <w:rFonts w:ascii="Arial" w:eastAsia="Calibri" w:hAnsi="Arial" w:cs="Arial"/>
                <w:sz w:val="22"/>
                <w:szCs w:val="22"/>
              </w:rPr>
            </w:pPr>
          </w:p>
          <w:p w:rsidR="00762E71" w:rsidRPr="003549EF" w:rsidRDefault="00762E71" w:rsidP="00762E71">
            <w:pPr>
              <w:rPr>
                <w:rFonts w:ascii="Arial" w:eastAsia="Calibri" w:hAnsi="Arial" w:cs="Arial"/>
                <w:color w:val="FF0000"/>
              </w:rPr>
            </w:pPr>
            <w:r>
              <w:rPr>
                <w:rFonts w:ascii="Arial" w:eastAsia="Calibri" w:hAnsi="Arial" w:cs="Arial"/>
              </w:rPr>
              <w:t xml:space="preserve">In addition, ask for a copy of the agency’s policy and procedure relating to mental health crisis response.  </w:t>
            </w:r>
            <w:r>
              <w:rPr>
                <w:rFonts w:ascii="Arial" w:eastAsia="Calibri" w:hAnsi="Arial" w:cs="Arial"/>
                <w:color w:val="FF0000"/>
              </w:rPr>
              <w:t xml:space="preserve"> </w:t>
            </w:r>
          </w:p>
          <w:p w:rsidR="00762E71" w:rsidRPr="00DD0AB2" w:rsidRDefault="00762E71" w:rsidP="00EE7E4A">
            <w:pPr>
              <w:pStyle w:val="ListParagraph"/>
              <w:tabs>
                <w:tab w:val="left" w:pos="2179"/>
              </w:tabs>
              <w:ind w:left="0"/>
              <w:rPr>
                <w:rFonts w:ascii="Arial" w:eastAsia="Calibri" w:hAnsi="Arial" w:cs="Arial"/>
                <w:sz w:val="22"/>
                <w:szCs w:val="22"/>
              </w:rPr>
            </w:pPr>
          </w:p>
        </w:tc>
      </w:tr>
      <w:tr w:rsidR="00762E71" w:rsidTr="00762E71">
        <w:tc>
          <w:tcPr>
            <w:tcW w:w="2312" w:type="dxa"/>
          </w:tcPr>
          <w:p w:rsidR="00762E71" w:rsidRPr="006A5215" w:rsidRDefault="00762E71" w:rsidP="00102CFF">
            <w:pPr>
              <w:pStyle w:val="ListParagraph"/>
              <w:tabs>
                <w:tab w:val="left" w:pos="2179"/>
              </w:tabs>
              <w:ind w:left="0"/>
              <w:rPr>
                <w:rFonts w:ascii="Arial" w:eastAsia="Calibri" w:hAnsi="Arial" w:cs="Arial"/>
                <w:b/>
              </w:rPr>
            </w:pPr>
            <w:r w:rsidRPr="006A5215">
              <w:rPr>
                <w:rFonts w:ascii="Arial" w:eastAsia="Calibri" w:hAnsi="Arial" w:cs="Arial"/>
                <w:b/>
              </w:rPr>
              <w:t xml:space="preserve">Create a </w:t>
            </w:r>
            <w:r>
              <w:rPr>
                <w:rFonts w:ascii="Arial" w:eastAsia="Calibri" w:hAnsi="Arial" w:cs="Arial"/>
                <w:b/>
              </w:rPr>
              <w:t>diagram</w:t>
            </w:r>
            <w:r w:rsidRPr="006A5215">
              <w:rPr>
                <w:rFonts w:ascii="Arial" w:eastAsia="Calibri" w:hAnsi="Arial" w:cs="Arial"/>
                <w:b/>
              </w:rPr>
              <w:t xml:space="preserve"> of your community’s service system</w:t>
            </w:r>
          </w:p>
        </w:tc>
        <w:tc>
          <w:tcPr>
            <w:tcW w:w="7246" w:type="dxa"/>
          </w:tcPr>
          <w:p w:rsidR="00762E71" w:rsidRDefault="00762E71" w:rsidP="00102CFF">
            <w:pPr>
              <w:pStyle w:val="ListParagraph"/>
              <w:tabs>
                <w:tab w:val="left" w:pos="2179"/>
              </w:tabs>
              <w:ind w:left="0"/>
              <w:rPr>
                <w:rFonts w:ascii="Arial" w:eastAsia="Calibri" w:hAnsi="Arial" w:cs="Arial"/>
              </w:rPr>
            </w:pPr>
            <w:r>
              <w:rPr>
                <w:rFonts w:ascii="Arial" w:eastAsia="Calibri" w:hAnsi="Arial" w:cs="Arial"/>
              </w:rPr>
              <w:t xml:space="preserve">Using the University of Memphis’s flowchart as an example, create a diagram of the service system in your community. A visual will help you notice gaps and opportunities for better coordination. </w:t>
            </w:r>
          </w:p>
        </w:tc>
      </w:tr>
      <w:tr w:rsidR="00762E71" w:rsidTr="00762E71">
        <w:tc>
          <w:tcPr>
            <w:tcW w:w="2312" w:type="dxa"/>
          </w:tcPr>
          <w:p w:rsidR="00762E71" w:rsidRPr="006A5215" w:rsidRDefault="00762E71" w:rsidP="006F68B6">
            <w:pPr>
              <w:pStyle w:val="ListParagraph"/>
              <w:tabs>
                <w:tab w:val="left" w:pos="2179"/>
              </w:tabs>
              <w:ind w:left="0"/>
              <w:rPr>
                <w:rFonts w:ascii="Arial" w:eastAsia="Calibri" w:hAnsi="Arial" w:cs="Arial"/>
                <w:b/>
              </w:rPr>
            </w:pPr>
            <w:r w:rsidRPr="006A5215">
              <w:rPr>
                <w:rFonts w:ascii="Arial" w:eastAsia="Calibri" w:hAnsi="Arial" w:cs="Arial"/>
                <w:b/>
              </w:rPr>
              <w:t>Research best practice crisis response models</w:t>
            </w:r>
          </w:p>
        </w:tc>
        <w:tc>
          <w:tcPr>
            <w:tcW w:w="7246" w:type="dxa"/>
          </w:tcPr>
          <w:p w:rsidR="00762E71" w:rsidRDefault="00762E71" w:rsidP="00D96938">
            <w:pPr>
              <w:rPr>
                <w:rFonts w:ascii="Arial" w:eastAsia="Calibri" w:hAnsi="Arial" w:cs="Arial"/>
              </w:rPr>
            </w:pPr>
            <w:r>
              <w:rPr>
                <w:rFonts w:ascii="Arial" w:eastAsia="Calibri" w:hAnsi="Arial" w:cs="Arial"/>
              </w:rPr>
              <w:t xml:space="preserve">Research how other communities have created a successful crisis response that is integrated with other existing community services, so that the services provide a continuity of care 24 hours, 7 days a week. Look at the crisis response in the CIT community you visited. Also review crisis response models from other communities.  Keep in mind that moving towards a model crisis system may take many incremental steps. </w:t>
            </w:r>
          </w:p>
          <w:p w:rsidR="00762E71" w:rsidRDefault="00762E71" w:rsidP="00D96938">
            <w:pPr>
              <w:pStyle w:val="ListParagraph"/>
              <w:tabs>
                <w:tab w:val="left" w:pos="2179"/>
              </w:tabs>
              <w:ind w:left="0"/>
              <w:jc w:val="center"/>
              <w:rPr>
                <w:rFonts w:ascii="Arial" w:eastAsia="Calibri" w:hAnsi="Arial" w:cs="Arial"/>
              </w:rPr>
            </w:pPr>
          </w:p>
        </w:tc>
      </w:tr>
      <w:tr w:rsidR="00762E71" w:rsidTr="00762E71">
        <w:tc>
          <w:tcPr>
            <w:tcW w:w="2312" w:type="dxa"/>
          </w:tcPr>
          <w:p w:rsidR="00762E71" w:rsidRPr="006A5215" w:rsidRDefault="00762E71" w:rsidP="00F64F4D">
            <w:pPr>
              <w:pStyle w:val="ListParagraph"/>
              <w:tabs>
                <w:tab w:val="left" w:pos="2179"/>
              </w:tabs>
              <w:ind w:left="0"/>
              <w:rPr>
                <w:rFonts w:ascii="Arial" w:eastAsia="Calibri" w:hAnsi="Arial" w:cs="Arial"/>
                <w:b/>
              </w:rPr>
            </w:pPr>
            <w:r w:rsidRPr="006A5215">
              <w:rPr>
                <w:rFonts w:ascii="Arial" w:eastAsia="Calibri" w:hAnsi="Arial" w:cs="Arial"/>
                <w:b/>
              </w:rPr>
              <w:t xml:space="preserve">Develop recommendations for the </w:t>
            </w:r>
            <w:r>
              <w:rPr>
                <w:rFonts w:ascii="Arial" w:eastAsia="Calibri" w:hAnsi="Arial" w:cs="Arial"/>
                <w:b/>
              </w:rPr>
              <w:t>s</w:t>
            </w:r>
            <w:r w:rsidRPr="006A5215">
              <w:rPr>
                <w:rFonts w:ascii="Arial" w:eastAsia="Calibri" w:hAnsi="Arial" w:cs="Arial"/>
                <w:b/>
              </w:rPr>
              <w:t xml:space="preserve">teering </w:t>
            </w:r>
            <w:r>
              <w:rPr>
                <w:rFonts w:ascii="Arial" w:eastAsia="Calibri" w:hAnsi="Arial" w:cs="Arial"/>
                <w:b/>
              </w:rPr>
              <w:t>c</w:t>
            </w:r>
            <w:r w:rsidRPr="006A5215">
              <w:rPr>
                <w:rFonts w:ascii="Arial" w:eastAsia="Calibri" w:hAnsi="Arial" w:cs="Arial"/>
                <w:b/>
              </w:rPr>
              <w:t>ommittee</w:t>
            </w:r>
          </w:p>
        </w:tc>
        <w:tc>
          <w:tcPr>
            <w:tcW w:w="7246" w:type="dxa"/>
          </w:tcPr>
          <w:p w:rsidR="00762E71" w:rsidRDefault="00762E71" w:rsidP="00F64F4D">
            <w:pPr>
              <w:pStyle w:val="ListParagraph"/>
              <w:tabs>
                <w:tab w:val="left" w:pos="2179"/>
              </w:tabs>
              <w:ind w:left="0"/>
              <w:rPr>
                <w:rFonts w:ascii="Arial" w:eastAsia="Calibri" w:hAnsi="Arial" w:cs="Arial"/>
              </w:rPr>
            </w:pPr>
            <w:r>
              <w:rPr>
                <w:rFonts w:ascii="Arial" w:eastAsia="Calibri" w:hAnsi="Arial" w:cs="Arial"/>
              </w:rPr>
              <w:t xml:space="preserve">Create a report on the subcommittee’s findings for the steering committee, including recommendations for improvements to systems coordination. The recommendations should include: 1. What policies and procedures should be created or changed. 2. Opportunities for improved collaboration. 3.   Short and long term </w:t>
            </w:r>
            <w:r>
              <w:rPr>
                <w:rFonts w:ascii="Arial" w:eastAsia="Calibri" w:hAnsi="Arial" w:cs="Arial"/>
              </w:rPr>
              <w:lastRenderedPageBreak/>
              <w:t>goals for better crisis response and service delivery.</w:t>
            </w:r>
          </w:p>
        </w:tc>
      </w:tr>
    </w:tbl>
    <w:p w:rsidR="006F68B6" w:rsidRDefault="006F68B6" w:rsidP="006F68B6">
      <w:pPr>
        <w:pStyle w:val="ListParagraph"/>
        <w:tabs>
          <w:tab w:val="left" w:pos="2179"/>
        </w:tabs>
        <w:ind w:left="0"/>
        <w:rPr>
          <w:rFonts w:ascii="Arial" w:eastAsia="Calibri" w:hAnsi="Arial" w:cs="Arial"/>
        </w:rPr>
      </w:pPr>
    </w:p>
    <w:p w:rsidR="006F68B6" w:rsidRDefault="006F68B6" w:rsidP="006F68B6">
      <w:pPr>
        <w:rPr>
          <w:rFonts w:ascii="Arial" w:eastAsia="Calibri" w:hAnsi="Arial" w:cs="Arial"/>
        </w:rPr>
      </w:pPr>
    </w:p>
    <w:p w:rsidR="00E3190F" w:rsidRDefault="00BD01C7" w:rsidP="006F68B6">
      <w:pPr>
        <w:rPr>
          <w:rFonts w:ascii="Arial" w:hAnsi="Arial" w:cs="Arial"/>
          <w:sz w:val="24"/>
          <w:szCs w:val="24"/>
        </w:rPr>
      </w:pPr>
      <w:r>
        <w:rPr>
          <w:rFonts w:ascii="Arial" w:eastAsia="Calibri" w:hAnsi="Arial" w:cs="Arial"/>
        </w:rPr>
        <w:t xml:space="preserve"> </w:t>
      </w:r>
    </w:p>
    <w:p w:rsidR="00E3190F" w:rsidRPr="00E3190F" w:rsidRDefault="00E3190F">
      <w:pPr>
        <w:rPr>
          <w:rFonts w:ascii="Arial" w:hAnsi="Arial" w:cs="Arial"/>
          <w:sz w:val="24"/>
          <w:szCs w:val="24"/>
        </w:rPr>
      </w:pPr>
    </w:p>
    <w:p w:rsidR="00E3190F" w:rsidRDefault="00E3190F"/>
    <w:sectPr w:rsidR="00E3190F" w:rsidSect="009C2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00925"/>
    <w:multiLevelType w:val="hybridMultilevel"/>
    <w:tmpl w:val="60C02DCE"/>
    <w:lvl w:ilvl="0" w:tplc="09C6630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7D3701"/>
    <w:multiLevelType w:val="hybridMultilevel"/>
    <w:tmpl w:val="2022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E3190F"/>
    <w:rsid w:val="000921B3"/>
    <w:rsid w:val="00102CFF"/>
    <w:rsid w:val="00165A81"/>
    <w:rsid w:val="002F2870"/>
    <w:rsid w:val="003019B3"/>
    <w:rsid w:val="00311787"/>
    <w:rsid w:val="003549EF"/>
    <w:rsid w:val="00364820"/>
    <w:rsid w:val="003F3188"/>
    <w:rsid w:val="00421FBC"/>
    <w:rsid w:val="00481C1C"/>
    <w:rsid w:val="004845EF"/>
    <w:rsid w:val="00497AD5"/>
    <w:rsid w:val="0061187E"/>
    <w:rsid w:val="00664090"/>
    <w:rsid w:val="006A5215"/>
    <w:rsid w:val="006F466C"/>
    <w:rsid w:val="006F68B6"/>
    <w:rsid w:val="00731213"/>
    <w:rsid w:val="00762E71"/>
    <w:rsid w:val="007C4366"/>
    <w:rsid w:val="00963F17"/>
    <w:rsid w:val="009C2E5F"/>
    <w:rsid w:val="00A83F5E"/>
    <w:rsid w:val="00AC17D9"/>
    <w:rsid w:val="00BD01C7"/>
    <w:rsid w:val="00C2081F"/>
    <w:rsid w:val="00D96938"/>
    <w:rsid w:val="00DB77F6"/>
    <w:rsid w:val="00DD0AB2"/>
    <w:rsid w:val="00E3190F"/>
    <w:rsid w:val="00EE7E4A"/>
    <w:rsid w:val="00EF7336"/>
    <w:rsid w:val="00F01F22"/>
    <w:rsid w:val="00F33EFB"/>
    <w:rsid w:val="00F64F4D"/>
    <w:rsid w:val="00F67C0D"/>
    <w:rsid w:val="00FE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90F"/>
    <w:pPr>
      <w:spacing w:after="0" w:line="240" w:lineRule="auto"/>
      <w:ind w:left="720"/>
      <w:contextualSpacing/>
    </w:pPr>
    <w:rPr>
      <w:rFonts w:ascii="Times New Roman" w:hAnsi="Times New Roman" w:cs="Times New Roman"/>
      <w:sz w:val="24"/>
      <w:szCs w:val="24"/>
      <w:lang w:eastAsia="ja-JP"/>
    </w:rPr>
  </w:style>
  <w:style w:type="table" w:styleId="LightGrid-Accent1">
    <w:name w:val="Light Grid Accent 1"/>
    <w:basedOn w:val="TableNormal"/>
    <w:uiPriority w:val="62"/>
    <w:rsid w:val="006F68B6"/>
    <w:pPr>
      <w:spacing w:after="0" w:line="240" w:lineRule="auto"/>
    </w:pPr>
    <w:rPr>
      <w:rFonts w:ascii="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6F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1F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t.memphis.edu/pdf/CoreElements.pdf" TargetMode="External"/><Relationship Id="rId3" Type="http://schemas.openxmlformats.org/officeDocument/2006/relationships/styles" Target="styles.xml"/><Relationship Id="rId7" Type="http://schemas.openxmlformats.org/officeDocument/2006/relationships/hyperlink" Target="http://cit.memphis.edu/resourc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acenterofexcellence.pitt.edu/service_training.html" TargetMode="External"/><Relationship Id="rId4" Type="http://schemas.microsoft.com/office/2007/relationships/stylesWithEffects" Target="stylesWithEffects.xml"/><Relationship Id="rId9" Type="http://schemas.openxmlformats.org/officeDocument/2006/relationships/hyperlink" Target="http://www.nami.org/citfor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F141-39A1-4C86-BCE3-C203929B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Usher</dc:creator>
  <cp:lastModifiedBy>Laura Usher</cp:lastModifiedBy>
  <cp:revision>10</cp:revision>
  <dcterms:created xsi:type="dcterms:W3CDTF">2012-09-26T19:48:00Z</dcterms:created>
  <dcterms:modified xsi:type="dcterms:W3CDTF">2012-11-07T21:59:00Z</dcterms:modified>
</cp:coreProperties>
</file>